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564A43" w:rsidRDefault="00F92268" w:rsidP="00850792">
      <w:pPr>
        <w:pStyle w:val="BodyText"/>
        <w:rPr>
          <w:sz w:val="6"/>
          <w:szCs w:val="6"/>
        </w:rPr>
      </w:pPr>
      <w:r w:rsidRPr="00564A43">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564A43"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564A43" w:rsidRDefault="00F92268" w:rsidP="00F246C7">
            <w:pPr>
              <w:pStyle w:val="RefTableData"/>
            </w:pPr>
            <w:r w:rsidRPr="00564A43">
              <w:t>Reference number(s)</w:t>
            </w:r>
          </w:p>
        </w:tc>
      </w:tr>
      <w:tr w:rsidR="00F92268" w:rsidRPr="00564A43"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AFD3378" w:rsidR="00F92268" w:rsidRPr="00564A43" w:rsidRDefault="00E336DC" w:rsidP="00F246C7">
            <w:pPr>
              <w:pStyle w:val="RefTableHeader"/>
            </w:pPr>
            <w:r w:rsidRPr="00564A43">
              <w:t>1873-A</w:t>
            </w:r>
          </w:p>
        </w:tc>
      </w:tr>
    </w:tbl>
    <w:p w14:paraId="74FBA5B4" w14:textId="77777777" w:rsidR="00051356" w:rsidRPr="00564A43" w:rsidRDefault="00051356" w:rsidP="00821D98">
      <w:pPr>
        <w:pStyle w:val="BodyText"/>
        <w:rPr>
          <w:b/>
          <w:bCs/>
          <w:sz w:val="16"/>
          <w:szCs w:val="16"/>
        </w:rPr>
        <w:sectPr w:rsidR="00051356" w:rsidRPr="00564A43" w:rsidSect="00387C83">
          <w:headerReference w:type="even" r:id="rId12"/>
          <w:headerReference w:type="default" r:id="rId13"/>
          <w:footerReference w:type="even" r:id="rId14"/>
          <w:footerReference w:type="default" r:id="rId15"/>
          <w:headerReference w:type="first" r:id="rId16"/>
          <w:footerReference w:type="first" r:id="rId17"/>
          <w:pgSz w:w="12240" w:h="15840" w:code="1"/>
          <w:pgMar w:top="900" w:right="720" w:bottom="990" w:left="720" w:header="720" w:footer="807" w:gutter="0"/>
          <w:paperSrc w:first="15" w:other="15"/>
          <w:cols w:space="720"/>
          <w:titlePg/>
          <w:docGrid w:linePitch="272"/>
        </w:sectPr>
      </w:pPr>
    </w:p>
    <w:p w14:paraId="3F4DE49F" w14:textId="650D08EA" w:rsidR="004B15BB" w:rsidRPr="00564A43" w:rsidRDefault="0027778E" w:rsidP="007E5C16">
      <w:pPr>
        <w:pStyle w:val="Heading1"/>
      </w:pPr>
      <w:r w:rsidRPr="00564A43">
        <w:t>Specialty Guideline Management</w:t>
      </w:r>
      <w:r w:rsidRPr="00564A43">
        <w:br/>
        <w:t>dofetilide</w:t>
      </w:r>
      <w:r w:rsidR="00F67AFC">
        <w:t xml:space="preserve"> - </w:t>
      </w:r>
      <w:r w:rsidR="00F67AFC" w:rsidRPr="00564A43">
        <w:t>Tikosyn</w:t>
      </w:r>
    </w:p>
    <w:p w14:paraId="78861C92" w14:textId="5D07B658" w:rsidR="00203468" w:rsidRPr="00564A43" w:rsidRDefault="00C64534" w:rsidP="008E0F0D">
      <w:pPr>
        <w:pStyle w:val="Heading2"/>
      </w:pPr>
      <w:r w:rsidRPr="00564A43">
        <w:t xml:space="preserve">Products Referenced by this </w:t>
      </w:r>
      <w:r w:rsidR="00501602" w:rsidRPr="00564A43">
        <w:t>Document</w:t>
      </w:r>
    </w:p>
    <w:p w14:paraId="5455152B" w14:textId="48DDF934" w:rsidR="008E0F0D" w:rsidRPr="00564A43" w:rsidRDefault="00D82D85" w:rsidP="008B73E8">
      <w:pPr>
        <w:pStyle w:val="BodyText"/>
      </w:pPr>
      <w:r w:rsidRPr="00564A43">
        <w:t xml:space="preserve">Drugs that are listed in the </w:t>
      </w:r>
      <w:r w:rsidR="000315F1" w:rsidRPr="00564A43">
        <w:t>following table</w:t>
      </w:r>
      <w:r w:rsidRPr="00564A43">
        <w:t xml:space="preserve"> include both brand and generic and all dosage forms and strengths unless otherwise stated. </w:t>
      </w:r>
      <w:r w:rsidR="000D0352">
        <w:t>Over</w:t>
      </w:r>
      <w:r w:rsidR="00744EE7">
        <w:t>-</w:t>
      </w:r>
      <w:r w:rsidR="000D0352">
        <w:t>the</w:t>
      </w:r>
      <w:r w:rsidR="00744EE7">
        <w:t>-</w:t>
      </w:r>
      <w:r w:rsidR="000D0352">
        <w:t>counter (</w:t>
      </w:r>
      <w:r w:rsidRPr="00564A43">
        <w:t>OTC</w:t>
      </w:r>
      <w:r w:rsidR="000D0352">
        <w:t>)</w:t>
      </w:r>
      <w:r w:rsidRPr="00564A43">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564A43" w14:paraId="158421F8" w14:textId="77777777" w:rsidTr="000C5A6F">
        <w:trPr>
          <w:cantSplit/>
          <w:trHeight w:val="288"/>
          <w:tblHeader/>
        </w:trPr>
        <w:tc>
          <w:tcPr>
            <w:tcW w:w="5265" w:type="dxa"/>
            <w:vAlign w:val="center"/>
          </w:tcPr>
          <w:p w14:paraId="2A27354A" w14:textId="1390179E" w:rsidR="00252CE1" w:rsidRPr="00564A43" w:rsidRDefault="00252CE1" w:rsidP="00AA1E6A">
            <w:pPr>
              <w:pStyle w:val="TableHeader"/>
            </w:pPr>
            <w:bookmarkStart w:id="0" w:name="_Hlk159603270"/>
            <w:r w:rsidRPr="00564A43">
              <w:t>Brand Name</w:t>
            </w:r>
          </w:p>
        </w:tc>
        <w:tc>
          <w:tcPr>
            <w:tcW w:w="5595" w:type="dxa"/>
            <w:vAlign w:val="center"/>
          </w:tcPr>
          <w:p w14:paraId="3D342BE1" w14:textId="75F11EF1" w:rsidR="00252CE1" w:rsidRPr="00564A43" w:rsidRDefault="00252CE1" w:rsidP="00AA1E6A">
            <w:pPr>
              <w:pStyle w:val="TableHeader"/>
            </w:pPr>
            <w:r w:rsidRPr="00564A43">
              <w:t>Generic Name</w:t>
            </w:r>
          </w:p>
        </w:tc>
      </w:tr>
      <w:tr w:rsidR="00585FFF" w:rsidRPr="00564A43" w14:paraId="2AD5C02D" w14:textId="77777777" w:rsidTr="000C5A6F">
        <w:trPr>
          <w:cantSplit/>
        </w:trPr>
        <w:tc>
          <w:tcPr>
            <w:tcW w:w="5265" w:type="dxa"/>
          </w:tcPr>
          <w:p w14:paraId="2D8FA8E3" w14:textId="1C191B6B" w:rsidR="00585FFF" w:rsidRPr="00564A43" w:rsidRDefault="0027778E" w:rsidP="00E82ABA">
            <w:pPr>
              <w:pStyle w:val="TableDataUnpadded"/>
            </w:pPr>
            <w:r w:rsidRPr="00564A43">
              <w:t>Tikosyn</w:t>
            </w:r>
          </w:p>
        </w:tc>
        <w:tc>
          <w:tcPr>
            <w:tcW w:w="5595" w:type="dxa"/>
          </w:tcPr>
          <w:p w14:paraId="7E26A004" w14:textId="392CAACC" w:rsidR="00585FFF" w:rsidRPr="00564A43" w:rsidRDefault="00E336DC" w:rsidP="00E82ABA">
            <w:pPr>
              <w:pStyle w:val="TableDataUnpadded"/>
            </w:pPr>
            <w:r w:rsidRPr="00564A43">
              <w:t>dofetilide</w:t>
            </w:r>
          </w:p>
        </w:tc>
      </w:tr>
    </w:tbl>
    <w:bookmarkEnd w:id="0"/>
    <w:p w14:paraId="14CE6108" w14:textId="7FD7B6BA" w:rsidR="00FC1AAD" w:rsidRPr="00564A43" w:rsidRDefault="00ED052F" w:rsidP="00AA2A94">
      <w:pPr>
        <w:pStyle w:val="Heading2"/>
        <w:tabs>
          <w:tab w:val="left" w:pos="9540"/>
        </w:tabs>
      </w:pPr>
      <w:r w:rsidRPr="00564A43">
        <w:t>Indications</w:t>
      </w:r>
    </w:p>
    <w:p w14:paraId="18B22260" w14:textId="1FAFE168" w:rsidR="00E336DC" w:rsidRPr="00564A43" w:rsidRDefault="00E336DC" w:rsidP="00E336DC">
      <w:pPr>
        <w:pStyle w:val="BodyText"/>
      </w:pPr>
      <w:r w:rsidRPr="00564A43">
        <w:t>The indications below including FDA-approved indications and compendial uses are considered a covered benefit provided that all the approval criteria are met and the member has no exclusions to the prescribed therapy.</w:t>
      </w:r>
    </w:p>
    <w:p w14:paraId="134B5687" w14:textId="68C6F7F0" w:rsidR="00ED052F" w:rsidRPr="00564A43" w:rsidRDefault="00ED052F" w:rsidP="00ED052F">
      <w:pPr>
        <w:pStyle w:val="Heading3"/>
        <w:keepNext w:val="0"/>
        <w:rPr>
          <w:vertAlign w:val="superscript"/>
        </w:rPr>
      </w:pPr>
      <w:r w:rsidRPr="00564A43">
        <w:t>FDA-</w:t>
      </w:r>
      <w:r w:rsidR="005F46E9">
        <w:t>A</w:t>
      </w:r>
      <w:r w:rsidRPr="00564A43">
        <w:t>pproved Indicatio</w:t>
      </w:r>
      <w:r w:rsidR="00E336DC" w:rsidRPr="00564A43">
        <w:t>ns</w:t>
      </w:r>
    </w:p>
    <w:p w14:paraId="090FE14E" w14:textId="01AD645A" w:rsidR="00E336DC" w:rsidRPr="00564A43" w:rsidRDefault="00E336DC" w:rsidP="00E336DC">
      <w:pPr>
        <w:pStyle w:val="ListParagraph"/>
        <w:ind w:left="714" w:hanging="357"/>
        <w:contextualSpacing w:val="0"/>
      </w:pPr>
      <w:r w:rsidRPr="00564A43">
        <w:t>Maintenance of normal sinus rhythm (delay in time to recurrence of atrial fibrillation/atrial flutter [AF/AFI]) in patients with AF/AFl of greater than one week duration who have been converted to normal sinus rhythm</w:t>
      </w:r>
    </w:p>
    <w:p w14:paraId="3058A5F8" w14:textId="5BBB4233" w:rsidR="005C778C" w:rsidRPr="00564A43" w:rsidRDefault="00E336DC" w:rsidP="00255903">
      <w:pPr>
        <w:pStyle w:val="ListParagraph"/>
        <w:ind w:left="714" w:hanging="357"/>
        <w:contextualSpacing w:val="0"/>
      </w:pPr>
      <w:r w:rsidRPr="00564A43">
        <w:t>Conversion of AF/AFI to normal sinus rhythm</w:t>
      </w:r>
    </w:p>
    <w:p w14:paraId="0B5EC236" w14:textId="1189E8CC" w:rsidR="0044763A" w:rsidRPr="00564A43" w:rsidRDefault="009F2EF1" w:rsidP="0044763A">
      <w:pPr>
        <w:pStyle w:val="Heading3"/>
      </w:pPr>
      <w:r w:rsidRPr="00564A43">
        <w:t>Compendial Uses</w:t>
      </w:r>
    </w:p>
    <w:p w14:paraId="0DDA93B3" w14:textId="11557671" w:rsidR="00011E22" w:rsidRPr="00564A43" w:rsidRDefault="00011E22" w:rsidP="00011E22">
      <w:pPr>
        <w:pStyle w:val="ListParagraph"/>
        <w:ind w:left="714" w:hanging="357"/>
        <w:contextualSpacing w:val="0"/>
      </w:pPr>
      <w:r w:rsidRPr="00564A43">
        <w:t>Supraventricular tachycardia</w:t>
      </w:r>
    </w:p>
    <w:p w14:paraId="21E4586E" w14:textId="59D3676A" w:rsidR="00011E22" w:rsidRPr="00564A43" w:rsidRDefault="00011E22" w:rsidP="00011E22">
      <w:pPr>
        <w:pStyle w:val="ListParagraph"/>
        <w:ind w:left="714" w:hanging="357"/>
        <w:contextualSpacing w:val="0"/>
      </w:pPr>
      <w:r w:rsidRPr="00564A43">
        <w:t>Ventricular tachyarrhythmia</w:t>
      </w:r>
    </w:p>
    <w:p w14:paraId="0D5A9DD5" w14:textId="60A2A275" w:rsidR="009A5649" w:rsidRPr="00564A43" w:rsidRDefault="009A5649" w:rsidP="009A5649">
      <w:pPr>
        <w:pStyle w:val="BodyText"/>
        <w:rPr>
          <w:rFonts w:eastAsia="Arial"/>
        </w:rPr>
      </w:pPr>
      <w:r w:rsidRPr="00564A43">
        <w:t xml:space="preserve">All other indications are considered experimental/investigational and </w:t>
      </w:r>
      <w:r w:rsidRPr="00564A43">
        <w:rPr>
          <w:rFonts w:eastAsia="Arial"/>
        </w:rPr>
        <w:t>not medically necessary.</w:t>
      </w:r>
    </w:p>
    <w:p w14:paraId="50A38FBA" w14:textId="72B48AE3" w:rsidR="00FE0C63" w:rsidRPr="00564A43" w:rsidRDefault="00685107" w:rsidP="00011E22">
      <w:pPr>
        <w:pStyle w:val="Heading2"/>
        <w:tabs>
          <w:tab w:val="left" w:pos="9036"/>
        </w:tabs>
      </w:pPr>
      <w:r w:rsidRPr="00564A43">
        <w:lastRenderedPageBreak/>
        <w:t>Coverage Criteria</w:t>
      </w:r>
    </w:p>
    <w:p w14:paraId="5E357792" w14:textId="1AE0C729" w:rsidR="00C22F9B" w:rsidRPr="00564A43" w:rsidRDefault="00011E22" w:rsidP="00C22F9B">
      <w:pPr>
        <w:pStyle w:val="Heading3"/>
        <w:rPr>
          <w:vertAlign w:val="superscript"/>
        </w:rPr>
      </w:pPr>
      <w:r w:rsidRPr="00564A43">
        <w:t>Atrial Flutter</w:t>
      </w:r>
      <w:r w:rsidR="00F67AFC" w:rsidRPr="00564A43">
        <w:t>/</w:t>
      </w:r>
      <w:r w:rsidRPr="00564A43">
        <w:t xml:space="preserve">Atrial </w:t>
      </w:r>
      <w:r w:rsidR="00F67AFC" w:rsidRPr="00564A43">
        <w:t>Fibrillation</w:t>
      </w:r>
    </w:p>
    <w:p w14:paraId="28E3A94B" w14:textId="51753C47" w:rsidR="00712BF7" w:rsidRPr="00564A43" w:rsidRDefault="00712BF7" w:rsidP="00712BF7">
      <w:pPr>
        <w:pStyle w:val="BodyText"/>
      </w:pPr>
      <w:r w:rsidRPr="00564A43">
        <w:t>Authorization of 12 months may be granted for the maintenance of, or conversion to, normal sinus rhythm after atrial flutter or atrial fibrillation.</w:t>
      </w:r>
    </w:p>
    <w:p w14:paraId="4C0BFFE1" w14:textId="1D8779FC" w:rsidR="00712BF7" w:rsidRPr="00564A43" w:rsidRDefault="00712BF7" w:rsidP="00712BF7">
      <w:pPr>
        <w:pStyle w:val="Heading3"/>
      </w:pPr>
      <w:r w:rsidRPr="00564A43">
        <w:t xml:space="preserve">Supraventricular </w:t>
      </w:r>
      <w:r w:rsidR="005F46E9" w:rsidRPr="00564A43">
        <w:t>Tachycardia</w:t>
      </w:r>
    </w:p>
    <w:p w14:paraId="0B3C3387" w14:textId="00F27963" w:rsidR="00712BF7" w:rsidRPr="00564A43" w:rsidRDefault="00712BF7" w:rsidP="00712BF7">
      <w:pPr>
        <w:pStyle w:val="BodyText"/>
      </w:pPr>
      <w:r w:rsidRPr="00564A43">
        <w:t>Authorization of 12 months may be granted for treatment and prevention of supraventricular tachycardia.</w:t>
      </w:r>
    </w:p>
    <w:p w14:paraId="29E3462A" w14:textId="2C1298A5" w:rsidR="00712BF7" w:rsidRPr="00564A43" w:rsidRDefault="00712BF7" w:rsidP="00712BF7">
      <w:pPr>
        <w:pStyle w:val="Heading3"/>
      </w:pPr>
      <w:r w:rsidRPr="00564A43">
        <w:t xml:space="preserve">Ventricular </w:t>
      </w:r>
      <w:r w:rsidR="00EA0E42" w:rsidRPr="00564A43">
        <w:t>Tachyarrhythmia</w:t>
      </w:r>
    </w:p>
    <w:p w14:paraId="3D1BC612" w14:textId="0F0777AD" w:rsidR="00712BF7" w:rsidRPr="00564A43" w:rsidRDefault="00712BF7" w:rsidP="00712BF7">
      <w:pPr>
        <w:pStyle w:val="BodyText"/>
      </w:pPr>
      <w:r w:rsidRPr="00564A43">
        <w:t>Authorization of 12 months may be granted for treatment and prevention of ventricular tachyarrhythmia.</w:t>
      </w:r>
    </w:p>
    <w:p w14:paraId="3A643EC3" w14:textId="5586C2CE" w:rsidR="00A501AC" w:rsidRPr="00564A43" w:rsidRDefault="00A501AC" w:rsidP="00A501AC">
      <w:pPr>
        <w:pStyle w:val="Heading2"/>
      </w:pPr>
      <w:r w:rsidRPr="00564A43">
        <w:t>Continuation of Therapy</w:t>
      </w:r>
    </w:p>
    <w:p w14:paraId="3B3A931A" w14:textId="3C159264" w:rsidR="00712BF7" w:rsidRDefault="00712BF7" w:rsidP="00712BF7">
      <w:pPr>
        <w:pStyle w:val="BodyText"/>
      </w:pPr>
      <w:r w:rsidRPr="00564A43">
        <w:t>All members (including new members) requesting authorization for continuation of therapy must meet all requirements in the coverage criteria section.</w:t>
      </w:r>
    </w:p>
    <w:p w14:paraId="10DA4309" w14:textId="306C7F2A" w:rsidR="00FF66BF" w:rsidRPr="00564A43" w:rsidRDefault="00FF66BF" w:rsidP="00FF66BF">
      <w:pPr>
        <w:pStyle w:val="Heading2"/>
      </w:pPr>
      <w:r w:rsidRPr="00564A43">
        <w:t>References</w:t>
      </w:r>
    </w:p>
    <w:p w14:paraId="447111D3" w14:textId="3AAF7799" w:rsidR="00712BF7" w:rsidRPr="005F46E9" w:rsidRDefault="00712BF7" w:rsidP="005F46E9">
      <w:pPr>
        <w:pStyle w:val="ReferenceOrdered"/>
      </w:pPr>
      <w:r w:rsidRPr="005F46E9">
        <w:t>Tikosyn [package insert]. New York, NY: Pfizer Labs; August 2023.</w:t>
      </w:r>
    </w:p>
    <w:p w14:paraId="7A6A78EF" w14:textId="15986B38" w:rsidR="00712BF7" w:rsidRPr="005F46E9" w:rsidRDefault="00712BF7" w:rsidP="005F46E9">
      <w:pPr>
        <w:pStyle w:val="ReferenceOrdered"/>
      </w:pPr>
      <w:r w:rsidRPr="005F46E9">
        <w:t>Dofetilide [package insert]. Durham, NC: Accord Healthcare, Inc.; February 2022.</w:t>
      </w:r>
    </w:p>
    <w:p w14:paraId="77B5C941" w14:textId="3B25FC5C" w:rsidR="00712BF7" w:rsidRPr="005F46E9" w:rsidRDefault="00712BF7" w:rsidP="005F46E9">
      <w:pPr>
        <w:pStyle w:val="ReferenceOrdered"/>
      </w:pPr>
      <w:r w:rsidRPr="005F46E9">
        <w:t xml:space="preserve">Micromedex® [electronic version]. </w:t>
      </w:r>
      <w:proofErr w:type="spellStart"/>
      <w:r w:rsidRPr="005F46E9">
        <w:t>Merative</w:t>
      </w:r>
      <w:proofErr w:type="spellEnd"/>
      <w:r w:rsidRPr="005F46E9">
        <w:t xml:space="preserve">, Ann Arbor, Michigan, USA. Available at: https://www.micromedexsolutions.com/. Accessed April 1, 2024. </w:t>
      </w:r>
    </w:p>
    <w:p w14:paraId="492F0C57" w14:textId="1A297DB0" w:rsidR="00712BF7" w:rsidRPr="005F46E9" w:rsidRDefault="00712BF7" w:rsidP="005F46E9">
      <w:pPr>
        <w:pStyle w:val="ReferenceOrdered"/>
      </w:pPr>
      <w:r w:rsidRPr="005F46E9">
        <w:t xml:space="preserve">Page RL, </w:t>
      </w:r>
      <w:proofErr w:type="spellStart"/>
      <w:r w:rsidRPr="005F46E9">
        <w:t>Joglar</w:t>
      </w:r>
      <w:proofErr w:type="spellEnd"/>
      <w:r w:rsidRPr="005F46E9">
        <w:t xml:space="preserve"> JA, Caldwell MA, et al. 2015 ACC/AHA/HRS Guideline for the Management of adult patients with supraventricular tachycardia. A report of the American College of Cardiology/American Heart Association Task Force on clinical practice guidelines and the Heart Rhythm Society. J Am Coll </w:t>
      </w:r>
      <w:proofErr w:type="spellStart"/>
      <w:r w:rsidRPr="005F46E9">
        <w:t>Cardiol</w:t>
      </w:r>
      <w:proofErr w:type="spellEnd"/>
      <w:r w:rsidRPr="005F46E9">
        <w:t>. 2016;67(13).</w:t>
      </w:r>
    </w:p>
    <w:p w14:paraId="47E1A10C" w14:textId="207049C9" w:rsidR="00C44990" w:rsidRPr="006F4D34" w:rsidRDefault="00712BF7" w:rsidP="006F4D34">
      <w:pPr>
        <w:pStyle w:val="ReferenceOrdered"/>
        <w:keepNext/>
        <w:keepLines/>
        <w:widowControl w:val="0"/>
        <w:ind w:left="357" w:hanging="357"/>
      </w:pPr>
      <w:proofErr w:type="spellStart"/>
      <w:r w:rsidRPr="00821D98">
        <w:rPr>
          <w:lang w:val="fr-FR"/>
        </w:rPr>
        <w:t>Fuster</w:t>
      </w:r>
      <w:proofErr w:type="spellEnd"/>
      <w:r w:rsidRPr="00821D98">
        <w:rPr>
          <w:lang w:val="fr-FR"/>
        </w:rPr>
        <w:t xml:space="preserve"> V, </w:t>
      </w:r>
      <w:proofErr w:type="spellStart"/>
      <w:r w:rsidRPr="00821D98">
        <w:rPr>
          <w:lang w:val="fr-FR"/>
        </w:rPr>
        <w:t>Ryden</w:t>
      </w:r>
      <w:proofErr w:type="spellEnd"/>
      <w:r w:rsidRPr="00821D98">
        <w:rPr>
          <w:lang w:val="fr-FR"/>
        </w:rPr>
        <w:t xml:space="preserve"> LE, </w:t>
      </w:r>
      <w:proofErr w:type="spellStart"/>
      <w:r w:rsidRPr="00821D98">
        <w:rPr>
          <w:lang w:val="fr-FR"/>
        </w:rPr>
        <w:t>Asinger</w:t>
      </w:r>
      <w:proofErr w:type="spellEnd"/>
      <w:r w:rsidRPr="00821D98">
        <w:rPr>
          <w:lang w:val="fr-FR"/>
        </w:rPr>
        <w:t xml:space="preserve"> RW, et al. </w:t>
      </w:r>
      <w:r w:rsidRPr="005F46E9">
        <w:t>ACC/AHA/ESC guidelines for the management of patients with atrial fibrillation: Executive summary. A report of the American College of Cardiology/American Heart Association Task Force on practice guidelines and the European Society of Cardiology committee for practice guidelines and policy conferences (Committee to develop guidelines for the management of patients with atrial fibrillation) developed in collaboration with the North American Society of Pacing and Electrophysiology. Circulation. 2001;104(17):2118-50.</w:t>
      </w:r>
    </w:p>
    <w:sectPr w:rsidR="00C44990" w:rsidRPr="006F4D34" w:rsidSect="00387C83">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4381C" w14:textId="77777777" w:rsidR="00471D88" w:rsidRDefault="00471D88">
      <w:r>
        <w:separator/>
      </w:r>
    </w:p>
  </w:endnote>
  <w:endnote w:type="continuationSeparator" w:id="0">
    <w:p w14:paraId="18F35558" w14:textId="77777777" w:rsidR="00471D88" w:rsidRDefault="00471D88">
      <w:r>
        <w:continuationSeparator/>
      </w:r>
    </w:p>
  </w:endnote>
  <w:endnote w:type="continuationNotice" w:id="1">
    <w:p w14:paraId="77364AD8" w14:textId="77777777" w:rsidR="00471D88" w:rsidRDefault="00471D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33D8B" w14:textId="77777777" w:rsidR="00A30EA0" w:rsidRDefault="00A30E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47286F7A"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A30EA0" w:rsidRPr="00A30EA0">
      <w:rPr>
        <w:rFonts w:cs="Arial"/>
        <w:noProof/>
        <w:sz w:val="16"/>
        <w:szCs w:val="16"/>
      </w:rPr>
      <w:t>dofetilide-Tikosyn</w:t>
    </w:r>
    <w:r w:rsidR="00A30EA0">
      <w:rPr>
        <w:rFonts w:cs="Arial"/>
        <w:noProof/>
        <w:snapToGrid w:val="0"/>
        <w:color w:val="000000"/>
        <w:sz w:val="16"/>
        <w:szCs w:val="16"/>
      </w:rPr>
      <w:t xml:space="preserve"> SGM 1873-A</w:t>
    </w:r>
    <w:r w:rsidR="00A30EA0" w:rsidRPr="00A30EA0">
      <w:rPr>
        <w:rFonts w:cs="Arial"/>
        <w:noProof/>
        <w:sz w:val="16"/>
        <w:szCs w:val="16"/>
      </w:rPr>
      <w:t xml:space="preserve"> P2024</w:t>
    </w:r>
    <w:r w:rsidR="00A30EA0">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24A634C6"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796EA468" w:rsidR="00F75C81" w:rsidRPr="00623879" w:rsidRDefault="00C36B72" w:rsidP="00623879">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0D94DAC"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70666B">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A30EA0" w:rsidRPr="00A30EA0">
      <w:rPr>
        <w:rFonts w:cs="Arial"/>
        <w:noProof/>
        <w:sz w:val="16"/>
        <w:szCs w:val="16"/>
        <w:lang w:val="pt-PT"/>
      </w:rPr>
      <w:t>dofetilide-Tikosyn</w:t>
    </w:r>
    <w:r w:rsidR="00A30EA0">
      <w:rPr>
        <w:rFonts w:cs="Arial"/>
        <w:noProof/>
        <w:snapToGrid w:val="0"/>
        <w:color w:val="000000"/>
        <w:sz w:val="16"/>
        <w:szCs w:val="16"/>
        <w:lang w:val="pt-PT"/>
      </w:rPr>
      <w:t xml:space="preserve"> SGM</w:t>
    </w:r>
    <w:r w:rsidR="00A30EA0" w:rsidRPr="00A30EA0">
      <w:rPr>
        <w:rFonts w:cs="Arial"/>
        <w:noProof/>
        <w:sz w:val="16"/>
        <w:szCs w:val="16"/>
        <w:lang w:val="pt-PT"/>
      </w:rPr>
      <w:t xml:space="preserve"> </w:t>
    </w:r>
    <w:r w:rsidR="00A30EA0">
      <w:rPr>
        <w:rFonts w:cs="Arial"/>
        <w:noProof/>
        <w:snapToGrid w:val="0"/>
        <w:color w:val="000000"/>
        <w:sz w:val="16"/>
        <w:szCs w:val="16"/>
        <w:lang w:val="pt-PT"/>
      </w:rPr>
      <w:t xml:space="preserve">1873-A </w:t>
    </w:r>
    <w:r w:rsidR="00A30EA0" w:rsidRPr="00A30EA0">
      <w:rPr>
        <w:rFonts w:cs="Arial"/>
        <w:noProof/>
        <w:sz w:val="16"/>
        <w:szCs w:val="16"/>
        <w:lang w:val="pt-PT"/>
      </w:rPr>
      <w:t>P2024_R.docx</w:t>
    </w:r>
    <w:r w:rsidRPr="00EC47B6">
      <w:rPr>
        <w:rFonts w:cs="Arial"/>
        <w:noProof/>
        <w:sz w:val="16"/>
        <w:szCs w:val="16"/>
      </w:rPr>
      <w:fldChar w:fldCharType="end"/>
    </w:r>
    <w:r w:rsidRPr="0070666B">
      <w:rPr>
        <w:rFonts w:cs="Arial"/>
        <w:snapToGrid w:val="0"/>
        <w:color w:val="000000"/>
        <w:sz w:val="16"/>
        <w:lang w:val="pt-PT"/>
      </w:rPr>
      <w:tab/>
      <w:t>© 202</w:t>
    </w:r>
    <w:r w:rsidR="00D74279" w:rsidRPr="0070666B">
      <w:rPr>
        <w:rFonts w:cs="Arial"/>
        <w:snapToGrid w:val="0"/>
        <w:color w:val="000000"/>
        <w:sz w:val="16"/>
        <w:lang w:val="pt-PT"/>
      </w:rPr>
      <w:t>4</w:t>
    </w:r>
    <w:r w:rsidRPr="0070666B">
      <w:rPr>
        <w:rFonts w:cs="Arial"/>
        <w:snapToGrid w:val="0"/>
        <w:color w:val="000000"/>
        <w:sz w:val="16"/>
        <w:lang w:val="pt-PT"/>
      </w:rPr>
      <w:t xml:space="preserve"> CVS Caremark. </w:t>
    </w:r>
    <w:r w:rsidRPr="00EC47B6">
      <w:rPr>
        <w:rFonts w:cs="Arial"/>
        <w:snapToGrid w:val="0"/>
        <w:color w:val="000000"/>
        <w:sz w:val="16"/>
      </w:rPr>
      <w:t>All rights reserved.</w:t>
    </w:r>
  </w:p>
  <w:p w14:paraId="39BFE579" w14:textId="3086F708"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765FD315" w:rsidR="00ED04EC" w:rsidRPr="00F50D98" w:rsidRDefault="00F50D98" w:rsidP="005F6DDC">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A8BD6" w14:textId="77777777" w:rsidR="00471D88" w:rsidRDefault="00471D88">
      <w:r>
        <w:separator/>
      </w:r>
    </w:p>
  </w:footnote>
  <w:footnote w:type="continuationSeparator" w:id="0">
    <w:p w14:paraId="40DD3AE2" w14:textId="77777777" w:rsidR="00471D88" w:rsidRDefault="00471D88">
      <w:r>
        <w:continuationSeparator/>
      </w:r>
    </w:p>
  </w:footnote>
  <w:footnote w:type="continuationNotice" w:id="1">
    <w:p w14:paraId="7444D849" w14:textId="77777777" w:rsidR="00471D88" w:rsidRDefault="00471D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EFA07" w14:textId="77777777" w:rsidR="00A30EA0" w:rsidRDefault="00A30E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564A43" w14:paraId="16262E63" w14:textId="77777777">
      <w:trPr>
        <w:trHeight w:val="144"/>
        <w:jc w:val="right"/>
      </w:trPr>
      <w:tc>
        <w:tcPr>
          <w:tcW w:w="1854" w:type="dxa"/>
          <w:hideMark/>
        </w:tcPr>
        <w:p w14:paraId="18F550B7" w14:textId="77777777" w:rsidR="00ED04EC" w:rsidRPr="00564A43" w:rsidRDefault="00ED04EC" w:rsidP="00ED04EC">
          <w:pPr>
            <w:pStyle w:val="Header"/>
            <w:rPr>
              <w:rFonts w:cs="Arial"/>
              <w:sz w:val="16"/>
              <w:szCs w:val="16"/>
            </w:rPr>
          </w:pPr>
          <w:r w:rsidRPr="00564A43">
            <w:rPr>
              <w:rFonts w:cs="Arial"/>
              <w:sz w:val="16"/>
              <w:szCs w:val="16"/>
            </w:rPr>
            <w:t>Reference number(s)</w:t>
          </w:r>
        </w:p>
      </w:tc>
    </w:tr>
    <w:tr w:rsidR="00ED04EC" w:rsidRPr="00564A43" w14:paraId="703C6588" w14:textId="77777777">
      <w:trPr>
        <w:trHeight w:val="378"/>
        <w:jc w:val="right"/>
      </w:trPr>
      <w:tc>
        <w:tcPr>
          <w:tcW w:w="1854" w:type="dxa"/>
          <w:hideMark/>
        </w:tcPr>
        <w:p w14:paraId="51CE3E64" w14:textId="0E71D744" w:rsidR="00ED04EC" w:rsidRPr="00564A43" w:rsidRDefault="00011E22" w:rsidP="00ED04EC">
          <w:pPr>
            <w:pStyle w:val="Header"/>
            <w:rPr>
              <w:rFonts w:cs="Arial"/>
              <w:sz w:val="16"/>
              <w:szCs w:val="16"/>
            </w:rPr>
          </w:pPr>
          <w:r w:rsidRPr="00564A43">
            <w:rPr>
              <w:rFonts w:cs="Arial"/>
              <w:sz w:val="16"/>
              <w:szCs w:val="16"/>
            </w:rPr>
            <w:t>1873-A</w:t>
          </w:r>
        </w:p>
      </w:tc>
    </w:tr>
  </w:tbl>
  <w:p w14:paraId="0D5ACCC2" w14:textId="462A1075" w:rsidR="00ED04EC" w:rsidRPr="00564A43" w:rsidRDefault="00ED04EC"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74753" w14:textId="77777777" w:rsidR="00A30EA0" w:rsidRDefault="00A30E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8813FD"/>
    <w:multiLevelType w:val="hybridMultilevel"/>
    <w:tmpl w:val="E94A46B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4"/>
  </w:num>
  <w:num w:numId="3" w16cid:durableId="611589570">
    <w:abstractNumId w:val="2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7"/>
  </w:num>
  <w:num w:numId="17" w16cid:durableId="2128498676">
    <w:abstractNumId w:val="26"/>
  </w:num>
  <w:num w:numId="18" w16cid:durableId="299724409">
    <w:abstractNumId w:val="21"/>
  </w:num>
  <w:num w:numId="19" w16cid:durableId="214585573">
    <w:abstractNumId w:val="14"/>
  </w:num>
  <w:num w:numId="20" w16cid:durableId="1289816170">
    <w:abstractNumId w:val="15"/>
  </w:num>
  <w:num w:numId="21" w16cid:durableId="1066490929">
    <w:abstractNumId w:val="27"/>
  </w:num>
  <w:num w:numId="22" w16cid:durableId="1472481103">
    <w:abstractNumId w:val="23"/>
  </w:num>
  <w:num w:numId="23" w16cid:durableId="1997420403">
    <w:abstractNumId w:val="25"/>
  </w:num>
  <w:num w:numId="24" w16cid:durableId="33312838">
    <w:abstractNumId w:val="22"/>
  </w:num>
  <w:num w:numId="25" w16cid:durableId="507404939">
    <w:abstractNumId w:val="16"/>
  </w:num>
  <w:num w:numId="26" w16cid:durableId="1950313333">
    <w:abstractNumId w:val="19"/>
  </w:num>
  <w:num w:numId="27" w16cid:durableId="1866016584">
    <w:abstractNumId w:val="18"/>
  </w:num>
  <w:num w:numId="28" w16cid:durableId="201596058">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22"/>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44"/>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35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150"/>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40E"/>
    <w:rsid w:val="00220916"/>
    <w:rsid w:val="00220B8D"/>
    <w:rsid w:val="00220E02"/>
    <w:rsid w:val="00221054"/>
    <w:rsid w:val="002211B9"/>
    <w:rsid w:val="00221310"/>
    <w:rsid w:val="00221ABB"/>
    <w:rsid w:val="00222059"/>
    <w:rsid w:val="0022289B"/>
    <w:rsid w:val="002230C2"/>
    <w:rsid w:val="00223117"/>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8E"/>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1467"/>
    <w:rsid w:val="002F23BB"/>
    <w:rsid w:val="002F2822"/>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6D9C"/>
    <w:rsid w:val="003777A6"/>
    <w:rsid w:val="00377D50"/>
    <w:rsid w:val="00381B05"/>
    <w:rsid w:val="00381B16"/>
    <w:rsid w:val="0038248C"/>
    <w:rsid w:val="00382C29"/>
    <w:rsid w:val="00382C85"/>
    <w:rsid w:val="0038309E"/>
    <w:rsid w:val="00384D85"/>
    <w:rsid w:val="0038594B"/>
    <w:rsid w:val="00385C81"/>
    <w:rsid w:val="00386F82"/>
    <w:rsid w:val="00387C83"/>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1D88"/>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A43"/>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94C"/>
    <w:rsid w:val="005C2667"/>
    <w:rsid w:val="005C295A"/>
    <w:rsid w:val="005C2C21"/>
    <w:rsid w:val="005C3B4F"/>
    <w:rsid w:val="005C44D1"/>
    <w:rsid w:val="005C52A6"/>
    <w:rsid w:val="005C6812"/>
    <w:rsid w:val="005C6D2C"/>
    <w:rsid w:val="005C6E3B"/>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6E9"/>
    <w:rsid w:val="005F4CD7"/>
    <w:rsid w:val="005F557C"/>
    <w:rsid w:val="005F5BCB"/>
    <w:rsid w:val="005F5BD4"/>
    <w:rsid w:val="005F5EDE"/>
    <w:rsid w:val="005F622C"/>
    <w:rsid w:val="005F6DD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3879"/>
    <w:rsid w:val="00624FDF"/>
    <w:rsid w:val="006252F2"/>
    <w:rsid w:val="00625D43"/>
    <w:rsid w:val="00626122"/>
    <w:rsid w:val="006266FE"/>
    <w:rsid w:val="00626803"/>
    <w:rsid w:val="006278F4"/>
    <w:rsid w:val="00627B98"/>
    <w:rsid w:val="00631305"/>
    <w:rsid w:val="00631F71"/>
    <w:rsid w:val="006328A6"/>
    <w:rsid w:val="00632F54"/>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4D34"/>
    <w:rsid w:val="006F53D8"/>
    <w:rsid w:val="006F5F82"/>
    <w:rsid w:val="006F6AD5"/>
    <w:rsid w:val="006F7127"/>
    <w:rsid w:val="00700342"/>
    <w:rsid w:val="007006E7"/>
    <w:rsid w:val="00701964"/>
    <w:rsid w:val="00701BB0"/>
    <w:rsid w:val="00702357"/>
    <w:rsid w:val="00702DB8"/>
    <w:rsid w:val="007034B1"/>
    <w:rsid w:val="00703C67"/>
    <w:rsid w:val="007061F8"/>
    <w:rsid w:val="0070666B"/>
    <w:rsid w:val="00706B11"/>
    <w:rsid w:val="00706FB2"/>
    <w:rsid w:val="00707218"/>
    <w:rsid w:val="007074F5"/>
    <w:rsid w:val="00707DEE"/>
    <w:rsid w:val="00711A79"/>
    <w:rsid w:val="007125BE"/>
    <w:rsid w:val="0071294F"/>
    <w:rsid w:val="00712BF7"/>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4D89"/>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4EE7"/>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1519"/>
    <w:rsid w:val="007622EA"/>
    <w:rsid w:val="007627F6"/>
    <w:rsid w:val="00762AE4"/>
    <w:rsid w:val="00762DDD"/>
    <w:rsid w:val="0076331A"/>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6BEB"/>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052"/>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1D98"/>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0EA0"/>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46F6"/>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17E1C"/>
    <w:rsid w:val="00D20446"/>
    <w:rsid w:val="00D20EFA"/>
    <w:rsid w:val="00D2121B"/>
    <w:rsid w:val="00D2152A"/>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36DC"/>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0E42"/>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AFC"/>
    <w:rsid w:val="00F67E40"/>
    <w:rsid w:val="00F70605"/>
    <w:rsid w:val="00F70606"/>
    <w:rsid w:val="00F70900"/>
    <w:rsid w:val="00F70D49"/>
    <w:rsid w:val="00F718A3"/>
    <w:rsid w:val="00F71DC9"/>
    <w:rsid w:val="00F729CF"/>
    <w:rsid w:val="00F72FC2"/>
    <w:rsid w:val="00F749A8"/>
    <w:rsid w:val="00F74F32"/>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52205894">
      <w:bodyDiv w:val="1"/>
      <w:marLeft w:val="0"/>
      <w:marRight w:val="0"/>
      <w:marTop w:val="0"/>
      <w:marBottom w:val="0"/>
      <w:divBdr>
        <w:top w:val="none" w:sz="0" w:space="0" w:color="auto"/>
        <w:left w:val="none" w:sz="0" w:space="0" w:color="auto"/>
        <w:bottom w:val="none" w:sz="0" w:space="0" w:color="auto"/>
        <w:right w:val="none" w:sz="0" w:space="0" w:color="auto"/>
      </w:divBdr>
      <w:divsChild>
        <w:div w:id="513811226">
          <w:marLeft w:val="0"/>
          <w:marRight w:val="0"/>
          <w:marTop w:val="0"/>
          <w:marBottom w:val="0"/>
          <w:divBdr>
            <w:top w:val="none" w:sz="0" w:space="0" w:color="auto"/>
            <w:left w:val="none" w:sz="0" w:space="0" w:color="auto"/>
            <w:bottom w:val="none" w:sz="0" w:space="0" w:color="auto"/>
            <w:right w:val="none" w:sz="0" w:space="0" w:color="auto"/>
          </w:divBdr>
        </w:div>
        <w:div w:id="472795946">
          <w:marLeft w:val="0"/>
          <w:marRight w:val="0"/>
          <w:marTop w:val="0"/>
          <w:marBottom w:val="0"/>
          <w:divBdr>
            <w:top w:val="none" w:sz="0" w:space="0" w:color="auto"/>
            <w:left w:val="none" w:sz="0" w:space="0" w:color="auto"/>
            <w:bottom w:val="none" w:sz="0" w:space="0" w:color="auto"/>
            <w:right w:val="none" w:sz="0" w:space="0" w:color="auto"/>
          </w:divBdr>
        </w:div>
        <w:div w:id="1002515929">
          <w:marLeft w:val="0"/>
          <w:marRight w:val="0"/>
          <w:marTop w:val="0"/>
          <w:marBottom w:val="0"/>
          <w:divBdr>
            <w:top w:val="none" w:sz="0" w:space="0" w:color="auto"/>
            <w:left w:val="none" w:sz="0" w:space="0" w:color="auto"/>
            <w:bottom w:val="none" w:sz="0" w:space="0" w:color="auto"/>
            <w:right w:val="none" w:sz="0" w:space="0" w:color="auto"/>
          </w:divBdr>
        </w:div>
        <w:div w:id="1891921640">
          <w:marLeft w:val="0"/>
          <w:marRight w:val="0"/>
          <w:marTop w:val="0"/>
          <w:marBottom w:val="0"/>
          <w:divBdr>
            <w:top w:val="none" w:sz="0" w:space="0" w:color="auto"/>
            <w:left w:val="none" w:sz="0" w:space="0" w:color="auto"/>
            <w:bottom w:val="none" w:sz="0" w:space="0" w:color="auto"/>
            <w:right w:val="none" w:sz="0" w:space="0" w:color="auto"/>
          </w:divBdr>
        </w:div>
        <w:div w:id="1523208390">
          <w:marLeft w:val="0"/>
          <w:marRight w:val="0"/>
          <w:marTop w:val="0"/>
          <w:marBottom w:val="0"/>
          <w:divBdr>
            <w:top w:val="none" w:sz="0" w:space="0" w:color="auto"/>
            <w:left w:val="none" w:sz="0" w:space="0" w:color="auto"/>
            <w:bottom w:val="none" w:sz="0" w:space="0" w:color="auto"/>
            <w:right w:val="none" w:sz="0" w:space="0" w:color="auto"/>
          </w:divBdr>
        </w:div>
        <w:div w:id="1519080232">
          <w:marLeft w:val="0"/>
          <w:marRight w:val="0"/>
          <w:marTop w:val="0"/>
          <w:marBottom w:val="0"/>
          <w:divBdr>
            <w:top w:val="none" w:sz="0" w:space="0" w:color="auto"/>
            <w:left w:val="none" w:sz="0" w:space="0" w:color="auto"/>
            <w:bottom w:val="none" w:sz="0" w:space="0" w:color="auto"/>
            <w:right w:val="none" w:sz="0" w:space="0" w:color="auto"/>
          </w:divBdr>
        </w:div>
        <w:div w:id="1017930539">
          <w:marLeft w:val="0"/>
          <w:marRight w:val="0"/>
          <w:marTop w:val="0"/>
          <w:marBottom w:val="0"/>
          <w:divBdr>
            <w:top w:val="none" w:sz="0" w:space="0" w:color="auto"/>
            <w:left w:val="none" w:sz="0" w:space="0" w:color="auto"/>
            <w:bottom w:val="none" w:sz="0" w:space="0" w:color="auto"/>
            <w:right w:val="none" w:sz="0" w:space="0" w:color="auto"/>
          </w:divBdr>
        </w:div>
      </w:divsChild>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1308665">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58907782">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23428808">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377313889">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purl.org/dc/terms/"/>
    <ds:schemaRef ds:uri="http://schemas.openxmlformats.org/package/2006/metadata/core-properties"/>
    <ds:schemaRef ds:uri="ce173f13-e3a2-4c5f-8c54-d0382ae88016"/>
    <ds:schemaRef ds:uri="http://schemas.microsoft.com/office/2006/documentManagement/types"/>
    <ds:schemaRef ds:uri="http://schemas.microsoft.com/office/infopath/2007/PartnerControls"/>
    <ds:schemaRef ds:uri="http://purl.org/dc/elements/1.1/"/>
    <ds:schemaRef ds:uri="http://schemas.microsoft.com/office/2006/metadata/properties"/>
    <ds:schemaRef ds:uri="102fadf2-6cae-45bc-95f6-bc2613b98572"/>
    <ds:schemaRef ds:uri="http://www.w3.org/XML/1998/namespace"/>
    <ds:schemaRef ds:uri="http://purl.org/dc/dcmitype/"/>
  </ds:schemaRefs>
</ds:datastoreItem>
</file>

<file path=customXml/itemProps3.xml><?xml version="1.0" encoding="utf-8"?>
<ds:datastoreItem xmlns:ds="http://schemas.openxmlformats.org/officeDocument/2006/customXml" ds:itemID="{1F8A29D3-C79F-4FF4-B371-55B46F989F2C}"/>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386</Words>
  <Characters>2496</Characters>
  <Application>Microsoft Office Word</Application>
  <DocSecurity>0</DocSecurity>
  <Lines>62</Lines>
  <Paragraphs>47</Paragraphs>
  <ScaleCrop>false</ScaleCrop>
  <HeadingPairs>
    <vt:vector size="2" baseType="variant">
      <vt:variant>
        <vt:lpstr>Title</vt:lpstr>
      </vt:variant>
      <vt:variant>
        <vt:i4>1</vt:i4>
      </vt:variant>
    </vt:vector>
  </HeadingPairs>
  <TitlesOfParts>
    <vt:vector size="1" baseType="lpstr">
      <vt:lpstr>dofetilide-Tikosyn 1873-A SGM 2024</vt:lpstr>
    </vt:vector>
  </TitlesOfParts>
  <Company>PCS Health Systems</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dofetilide-Tikosyn 1873-A SGM 2024</dc:title>
  <dc:subject/>
  <dc:creator>CVS Caremark</dc:creator>
  <cp:keywords/>
  <cp:lastModifiedBy>Clark, Shannon I</cp:lastModifiedBy>
  <cp:revision>4</cp:revision>
  <cp:lastPrinted>2018-01-09T05:01:00Z</cp:lastPrinted>
  <dcterms:created xsi:type="dcterms:W3CDTF">2024-12-31T02:45:00Z</dcterms:created>
  <dcterms:modified xsi:type="dcterms:W3CDTF">2024-12-31T02:46:00Z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xd_ProgID">
    <vt:lpwstr/>
  </property>
  <property fmtid="{D5CDD505-2E9C-101B-9397-08002B2CF9AE}" pid="12" name="_SourceUrl">
    <vt:lpwstr/>
  </property>
  <property fmtid="{D5CDD505-2E9C-101B-9397-08002B2CF9AE}" pid="13" name="_SharedFileIndex">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Order">
    <vt:r8>1091700</vt:r8>
  </property>
</Properties>
</file>